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B3" w:rsidRPr="005A4EB3" w:rsidRDefault="005A4EB3" w:rsidP="005A4EB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>ПРОЕКТ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>Утверждена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>Постановлением Администрации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 xml:space="preserve"> сельсовета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>от ________________ №_____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  <w:t>_____________/ ____________/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Программа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комплексного развития транспортной инфраструктуры муниципального образования «</w:t>
      </w:r>
      <w:proofErr w:type="spellStart"/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 xml:space="preserve"> сельсовет» Беловского района Курской области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на 2017-2035 годы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Раздел 1. Паспорт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 xml:space="preserve">программы комплексного развития транспортной инфраструктуры </w:t>
      </w:r>
      <w:proofErr w:type="spellStart"/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 xml:space="preserve"> сельсовета Беловского района Курской области на 2017-2035 годы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3"/>
        <w:gridCol w:w="6163"/>
      </w:tblGrid>
      <w:tr w:rsidR="005A4EB3" w:rsidRPr="005A4EB3" w:rsidTr="005A4EB3"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2017-2035 годы (далее - Программа)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ind w:firstLine="64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64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Генеральный план муниципального образования «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области.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Беловского района Курской области, </w:t>
            </w: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Россия, Курская область,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.Щ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еголёк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Митинка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улица, 10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Разработчик Программы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университет»,  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 Курск, ул. 50 лет Октября, 94 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г) эффективное  развитие транспортной инфраструктуры, сбалансированное с градостроительной деятельностью в поселениях;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 создание условия для управления транспортным спросом;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 создание условия для пешеходного и велосипедного передвижения населения;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обеспечение доступности объектов транспортной инфраструктуры;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сбалансированное, перспективное развитие транспортной инфраструктуры;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2017-2035 годы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асфальтирование улиц с грунтовым покрытием с.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Щеголёк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замена поврежденных и установка недостающих дорожных знаков,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формирование улично-дорожной сети на территориях новой жилой застройки;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5A4EB3" w:rsidRPr="005A4EB3" w:rsidTr="005A4EB3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Общий объем   финансирования Программы составит 0.22млн. рублей, в т.ч.: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2017 год – 0 млн. рублей;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2018 год – 0 млн. рублей;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2019 год – 0,01млн. рублей;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2020 год – 0 млн. рублей;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2021 год – 0,01 млн. рублей;</w:t>
            </w:r>
          </w:p>
          <w:p w:rsidR="005A4EB3" w:rsidRPr="005A4EB3" w:rsidRDefault="005A4EB3" w:rsidP="005A4EB3">
            <w:pPr>
              <w:spacing w:before="195" w:after="195" w:line="341" w:lineRule="atLeast"/>
              <w:ind w:firstLine="78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2022 – 2035 годы 0.2 млн. рублей;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Источник финансирования - средства бюджетов всех уровней, инвестиции.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Раздел 2. Характеристика существующего состояния транспортной инфраструктуры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kern w:val="0"/>
          <w:sz w:val="24"/>
          <w:szCs w:val="24"/>
          <w:lang w:eastAsia="ru-RU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Муниципальное образование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расположено в северной части Беловского района Курской области.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Сельсовет граничит на западе с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Суджанским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Большесолдатским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районами Курской области, на севере с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Большесолдатским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районом Курской области, на востоке с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Коммунаровским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сельсоветом, юге с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Беличанским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сельсоветом.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Территория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равна 4763 га, что составляет 5% площади Беловского района. В состав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входит 3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населенных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пункта. Административным центром является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 Общая численность населения сельсовета на 01.01.2014 г. составила 542 человека.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1 - Сведения о населении муниципального образования (по населенным пунктам)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1031"/>
        <w:gridCol w:w="3464"/>
        <w:gridCol w:w="1872"/>
        <w:gridCol w:w="2901"/>
        <w:gridCol w:w="127"/>
      </w:tblGrid>
      <w:tr w:rsidR="005A4EB3" w:rsidRPr="005A4EB3" w:rsidTr="005A4EB3">
        <w:trPr>
          <w:trHeight w:val="330"/>
        </w:trPr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Число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дворов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Общая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числен</w:t>
            </w: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softHyphen/>
              <w:t>ность, чел.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2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.Щ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еголек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2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.З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наменское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2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.Х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отеж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Колодезь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20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Муниципальное образование имеет удобное транспортно-географическое положение. Сельсовет находится в зоне 30 минутной транспортной доступности от районного центра, в непосредственной близости проходит автомобильная дорога регионального значения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Обоянь-Суджа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с которой сельсовет связывает межмуниципальная дорога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Обоянь-Суджа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» -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 Ближайшая железнодорожная станция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Псел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 находится на расстоянии 20 км от сельсовета.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 – административно-территориальная единица (сельсовет) и муниципальное образование (сельское поселение) в Беловском районе Курской области.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Структуру органа местного самоуправления администрации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составляют: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- представительный орган муниципального образования – Собрание депутатов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- глава муниципального образования - Глава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местная администрация (исполнительно-распорядительный орган муниципального образования) - Администрация 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- контрольный орган муниципального образования – ревизионная комиссия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состав территории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входят следующие населенные пункты: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с.Знаменское, 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д.Хотеж-Колодезь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 на протяжении длительного периода сохраняет аграрную специализацию. Производственные предприятия на территории сельсовета отсутствуют. В сельскохозяйственном секторе можно выделить ИП Глава КФХ Губарев В.Н., а также несколько КФХ.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Благоприятные природные условия и хорошее транспортное положение создают все предпосылки для дальнейшего развития сельского хозяйства сельсовета.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Объекты торговли насчитывается 5 магазинов, расположенных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с.Знаменское.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2.2. Социально-экономическая характеристика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Система социально-культурного и бытового обслуживания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Социальная сфера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включает в себя общеобразовательную школу, учреждение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культурно-досугового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типа, библиотеку, ФАП, одно отделение связи и пять объектов розничной торговли.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ходе проведенного анализа был сделан расчет соответствия обеспеченности населения основными учреждениями социального и культурно-бытового назначения нормативным требованиям, рекомендуемым в своде правил «Градостроительство. Планировка и застройка городских и сельских территорий» (СП 42.13330.2011).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12 - Расчет объемов мероприятий по территориальному планированию по объектам социального и культурно-бытового назначения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2450"/>
        <w:gridCol w:w="1597"/>
        <w:gridCol w:w="1024"/>
        <w:gridCol w:w="1324"/>
        <w:gridCol w:w="1111"/>
        <w:gridCol w:w="1024"/>
        <w:gridCol w:w="1724"/>
        <w:gridCol w:w="1024"/>
        <w:gridCol w:w="653"/>
      </w:tblGrid>
      <w:tr w:rsidR="005A4EB3" w:rsidRPr="005A4EB3" w:rsidTr="005A4EB3">
        <w:trPr>
          <w:trHeight w:val="20"/>
          <w:tblHeader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Наименование учреждений обслуживания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Един</w:t>
            </w:r>
            <w:proofErr w:type="gram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Расчетная емкость</w:t>
            </w:r>
          </w:p>
          <w:p w:rsidR="005A4EB3" w:rsidRPr="005A4EB3" w:rsidRDefault="005A4EB3" w:rsidP="005A4EB3">
            <w:pPr>
              <w:spacing w:before="195" w:after="195" w:line="20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Проектная емкость существующих сохраняемых объектов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Отклонение от расчетной емкости</w:t>
            </w:r>
          </w:p>
        </w:tc>
      </w:tr>
      <w:tr w:rsidR="005A4EB3" w:rsidRPr="005A4EB3" w:rsidTr="005A4EB3">
        <w:trPr>
          <w:trHeight w:val="152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4EB3" w:rsidRPr="005A4EB3" w:rsidRDefault="005A4EB3" w:rsidP="005A4EB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5A4EB3" w:rsidRPr="005A4EB3" w:rsidTr="005A4EB3">
        <w:trPr>
          <w:trHeight w:val="20"/>
          <w:tblHeader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5A4EB3" w:rsidRPr="005A4EB3" w:rsidTr="005A4EB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lang w:eastAsia="ru-RU"/>
              </w:rPr>
              <w:t>Учреждения образования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% общего числа школьников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lang w:eastAsia="ru-RU"/>
              </w:rPr>
              <w:t>Учреждения здравоохранения и социального обеспечения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lang w:eastAsia="ru-RU"/>
              </w:rPr>
              <w:t>Спортивные сооружения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300%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200%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Спортивные залы     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  <w:proofErr w:type="spell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. зала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175%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75%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Бассейны крытые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зеркала воды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lang w:eastAsia="ru-RU"/>
              </w:rPr>
              <w:t>Учреждения культуры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-34%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тыс. единиц хранения/мест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6-7,5/5-6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117%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17%</w:t>
            </w:r>
          </w:p>
        </w:tc>
      </w:tr>
      <w:tr w:rsidR="005A4EB3" w:rsidRPr="005A4EB3" w:rsidTr="005A4EB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lang w:eastAsia="ru-RU"/>
              </w:rPr>
              <w:t>Предприятия торговли, общественного питания и бытового обслуживания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</w:t>
            </w: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vertAlign w:val="superscript"/>
                <w:lang w:eastAsia="ru-RU"/>
              </w:rPr>
              <w:t>2 </w:t>
            </w:r>
            <w:proofErr w:type="spell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-31%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175%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75%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помывочное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5A4EB3" w:rsidRPr="005A4EB3" w:rsidTr="005A4EB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на 0,5-6 тыс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.ч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</w:tr>
      <w:tr w:rsidR="005A4EB3" w:rsidRPr="005A4EB3" w:rsidTr="005A4EB3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Отделение, филиал   банка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опер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4EB3" w:rsidRPr="005A4EB3" w:rsidRDefault="005A4EB3" w:rsidP="005A4EB3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Образование и воспитание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Структура образовательных учреждений состоит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из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        общеобразовательной ООШ.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сельсовете отсутствуют дошкольные образовательные учреждения.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сельсовете действует одна общеобразовательная школа расположенная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МКДОУ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Щеголянская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ООШ». Численность учащихся посещающих школу составляет 23 человека. Школа работает в одну смену.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Здравоохранение и социальное обеспечение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Система здравоохранения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представлена фельдшерско-акушерским пунктом расположенным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Первую медицинскую помощь население сельсовета получает в фельдшерско-акушерском пункте сельсовета, стационарную и профильную медицинскую помощь население получает в районной и областной больницах.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Объекты социальной защиты населения на территории сельсовета отсутствуют.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Спортивные сооружения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территории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имеются 3 спортивных объекта для занятия физкультурой, к ним относятся 2 спортивные площадки и 1 спортивный зал.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Спортивные объекты входят в общеобразовательную систему.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Учреждения культуры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5A4EB3" w:rsidRPr="005A4EB3" w:rsidRDefault="005A4EB3" w:rsidP="005A4EB3">
      <w:pPr>
        <w:shd w:val="clear" w:color="auto" w:fill="F8FAFB"/>
        <w:spacing w:before="60" w:after="60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Учреждения культуры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представлены сельским домом культуры и сельской библиотекой расположенными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2.3. Характеристика функционирования и показатели работы транспортной инфраструктуры по видам транспорта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Внешние транспортные связи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осуществляются автомобильным транспортом, обеспечивающим связь поселения с соседними населенными пунктами, с районным и областным административными центрами, общей транспортной сетью страны.</w:t>
      </w:r>
      <w:proofErr w:type="gramEnd"/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Связь между населенными пунктами сельсовета осуществляется по дорогам межмуниципального и местного значения. По территории сельсовета проходят 2 автомобильные дороги межмуниципального значения ««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Обоянь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Суджа» -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 и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Саморядово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Хотеж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Колодезь», протяженность которых по территории сельсовета составляет 9,9 км, дороги относятся к 4 категории и имеют твердое покрытие.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Таблица 13 - Перечень автомобильных дорог с твердым покрытием, проходящих по территории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4"/>
        <w:gridCol w:w="2353"/>
        <w:gridCol w:w="2256"/>
        <w:gridCol w:w="1226"/>
        <w:gridCol w:w="1208"/>
        <w:gridCol w:w="2014"/>
      </w:tblGrid>
      <w:tr w:rsidR="005A4EB3" w:rsidRPr="005A4EB3" w:rsidTr="005A4EB3">
        <w:trPr>
          <w:trHeight w:val="317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п</w:t>
            </w:r>
            <w:proofErr w:type="spellEnd"/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/</w:t>
            </w: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Идентификационный номер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Наименование дороги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Категория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Покрытие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Протяженность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 xml:space="preserve">по территории сельсовета, </w:t>
            </w:r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км</w:t>
            </w:r>
            <w:proofErr w:type="gramEnd"/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 ОП МЗ 38Н-523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Обоянь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- Суджа» -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Щеголек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а/бетон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4,95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 ОП МЗ 38Н-572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Саморядово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Хотеж</w:t>
            </w:r>
            <w:proofErr w:type="spell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Колодезь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а/бетон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4,96</w:t>
            </w:r>
          </w:p>
        </w:tc>
      </w:tr>
      <w:tr w:rsidR="005A4EB3" w:rsidRPr="005A4EB3" w:rsidTr="005A4EB3">
        <w:tc>
          <w:tcPr>
            <w:tcW w:w="2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Всего дорог с твердым покрытием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9,91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Общая протяженность муниципальных дорог общего пользования местного значения составляет 9 км, в том числе 7,8 км с твердым покрытием.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Ближайшая железнодорожная станция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Псел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 находится на расстоянии 20 км.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Проектные предложения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расчетный срок генерального плана внешние связи поселения будут обеспечиваться, как и в настоящее время, железнодорожным и автомобильным транспортом.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принципы развития транспортной инфраструктуры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Генеральным планом на первую очередь (до 2020г.) строительства предлагается:</w:t>
      </w:r>
    </w:p>
    <w:p w:rsidR="005A4EB3" w:rsidRPr="005A4EB3" w:rsidRDefault="005A4EB3" w:rsidP="005A4EB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устройство остановочных, посадочных площадок, автопавильонов на автобусных остановках;</w:t>
      </w:r>
    </w:p>
    <w:p w:rsidR="005A4EB3" w:rsidRPr="005A4EB3" w:rsidRDefault="005A4EB3" w:rsidP="005A4EB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5A4EB3" w:rsidRPr="005A4EB3" w:rsidRDefault="005A4EB3" w:rsidP="005A4EB3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реконструкция мостовых сооружений, расположенных на территории муниципального образования.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Проектные предложения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Генеральным планом предусматривается сохранение и дальнейшее развитие сложившейся структуры улично-дорожной сети населенных пунктов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пешеходного движения, архитектурно-планировочной организации территории и характера застройки.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Генеральным планом на I очередь строительства предусмотрены следующие мероприятия:</w:t>
      </w:r>
    </w:p>
    <w:p w:rsidR="005A4EB3" w:rsidRPr="005A4EB3" w:rsidRDefault="005A4EB3" w:rsidP="005A4EB3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асфальтирование 3 км улиц с грунтовым и/или щебеночным покрытием;</w:t>
      </w:r>
    </w:p>
    <w:p w:rsidR="005A4EB3" w:rsidRPr="005A4EB3" w:rsidRDefault="005A4EB3" w:rsidP="005A4EB3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оборудование 3 км улиц уличным освещением.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Генеральным планом на расчетный срок строительства предусмотрены следующие мероприятия:</w:t>
      </w:r>
    </w:p>
    <w:p w:rsidR="005A4EB3" w:rsidRPr="005A4EB3" w:rsidRDefault="005A4EB3" w:rsidP="005A4EB3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асфальтирование порядка 3 км улиц с грунтовым и/или щебеночным покрытием;</w:t>
      </w:r>
    </w:p>
    <w:p w:rsidR="005A4EB3" w:rsidRPr="005A4EB3" w:rsidRDefault="005A4EB3" w:rsidP="005A4EB3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оборудование 2 км улиц уличным освещением;</w:t>
      </w:r>
    </w:p>
    <w:p w:rsidR="005A4EB3" w:rsidRPr="005A4EB3" w:rsidRDefault="005A4EB3" w:rsidP="005A4EB3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2.4.  Характеристика сети дорог поселения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шумозащитных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устройств, установки технических средств информации и организации движения.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Категории улиц и дорог приняты в соответствии с классификацией, приведенной в следующей таблице.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14 - Параметры улиц и дорог сельсовета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1827"/>
        <w:gridCol w:w="2739"/>
        <w:gridCol w:w="1076"/>
        <w:gridCol w:w="1076"/>
        <w:gridCol w:w="1021"/>
        <w:gridCol w:w="1318"/>
      </w:tblGrid>
      <w:tr w:rsidR="005A4EB3" w:rsidRPr="005A4EB3" w:rsidTr="005A4EB3">
        <w:trPr>
          <w:trHeight w:val="20"/>
          <w:tblHeader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Категория сель</w:t>
            </w: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softHyphen/>
              <w:t>ских улиц и до</w:t>
            </w: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softHyphen/>
              <w:t>рог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Основное назначение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Ширина полосы движения, </w:t>
            </w:r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Число полос движения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Ширина пе</w:t>
            </w: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softHyphen/>
              <w:t>шеходной части тро</w:t>
            </w: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softHyphen/>
              <w:t xml:space="preserve">туара, </w:t>
            </w:r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5A4EB3" w:rsidRPr="005A4EB3" w:rsidTr="005A4EB3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Поселковая до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рога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Связь муниципального образова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ния с внешними дорогами общей сети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5A4EB3" w:rsidRPr="005A4EB3" w:rsidTr="005A4EB3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Главная улица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Связь жилых территорий с обще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ственным центром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1,5-2,25</w:t>
            </w:r>
          </w:p>
        </w:tc>
      </w:tr>
      <w:tr w:rsidR="005A4EB3" w:rsidRPr="005A4EB3" w:rsidTr="005A4EB3">
        <w:trPr>
          <w:trHeight w:val="18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1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1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Улица в жилой застройке:</w:t>
            </w:r>
          </w:p>
        </w:tc>
      </w:tr>
      <w:tr w:rsidR="005A4EB3" w:rsidRPr="005A4EB3" w:rsidTr="005A4EB3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Связь внутри жилых территорий и с главной улицей по направле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ниям с интенсивным движением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1,0-1,5</w:t>
            </w:r>
          </w:p>
        </w:tc>
      </w:tr>
      <w:tr w:rsidR="005A4EB3" w:rsidRPr="005A4EB3" w:rsidTr="005A4EB3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второстепенная</w:t>
            </w:r>
            <w:proofErr w:type="gramEnd"/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(переулок)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Связь между основными жилыми улицами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5A4EB3" w:rsidRPr="005A4EB3" w:rsidTr="005A4EB3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Связь жилых домов, располо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женных в глубине квартала, с улицей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2,75-3,0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5A4EB3" w:rsidRPr="005A4EB3" w:rsidTr="005A4EB3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Хозяйственный проезд, скотопро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гон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Прогон личного скота и проезд грузового транспорта к приуса</w:t>
            </w: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softHyphen/>
              <w:t>дебным участкам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4EB3" w:rsidRPr="005A4EB3" w:rsidRDefault="005A4EB3" w:rsidP="005A4EB3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8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Общая протяженность уличной сети населенных пунктов муниципального образования равна 7,8 км, в том числе с асфальтным покрытием 4,7км.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8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Дороги межмуниципального значения, проходящие по территории населенных пунктов, образуют в них главные улицы. Главные улицы выделены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.Щ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еголек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д.Хотеж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Колодезь, общая протяженность главных улиц составляет 2,8 км. Остальные улицы в населенных пунктах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классифицируются как «улицы в жилой застройке». Общая протяженность улиц в жилой застройке составила 5 км.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8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Уличным освещением оборудовано 2 км улиц.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Основной проблемой улично-дорожной сети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является наличие не асфальтированных и не освещенных улиц.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8"/>
          <w:lang w:eastAsia="ru-RU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образцу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территории муниципального образования используется легковой, грузовой и сельхоз автотранспорт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Парковок (парковочных мест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)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 территории поселения не имеется и строительство не планируется.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Весь автопарк принадлежит гражданам на праве личной собственности и хозяйствующим субъектам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2.6.  Характеристика работы транспортных средств общего пользования, включая анализ пассажиропотока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Пассажирские и грузовые перевозки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Грузовые перевозки осуществляются автотранспортом предприятий и частными предпринимателями.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Автобусные пассажирские перевозки осуществляются ежедневно, кроме субботы и воскресенья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Общественный пассажирский транспорт в населенных пунктах сельсовета отсутствует.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Индивидуальные пассажирские перевозки осуществляются на личном транспорте населения.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2.7. Характеристика условий пешеходного и велосипедного передвижения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Специально отведенных пешеходных дорожек на территории муниципального образования не имеется.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Для безопасного перехода граждан через проезжую часть на территории муниципального образования имеются пешеходные переходы.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Специально отведенных велосипедных дорожек нет. Движение велосипедного транспорта производится по проезжей части.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Коммунальные службы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2.9. Анализ уровня безопасности дорожного движения: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851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Обстановка с аварийностью на территории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остается сложной. 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851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851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По результатам исследований атмосферного воздуха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2.11 Характеристика существующих условий и перспектив развития и размещения транспортной инфраструктуры поселения: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первую очередь существующих условий и перспектив развития и размещения транспортной инфраструктуры сельсовета предлагается: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реконструкция мостовых сооружений, расположенных на территории муниципального образования.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Для функционирования и развития транспортной инфраструктуры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имеется следующая нормативная правовая база.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Генеральный план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 Правила землепользования и застройки территории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Для качественного функционирования и развития транспортной инфраструктуры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необходимо постоянно актуализировать и дополнять нормативно правовую базу.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2.13 Оценка финансирования транспортной инфраструктуры.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Уровень финансирования муниципального образования достаточно низкий.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Денежных средств за последние 5 лет на финансирование транспортной инфраструктуры в бюджете муниципального образования «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не предусматривалось.</w:t>
      </w:r>
      <w:proofErr w:type="gramEnd"/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3.1. Прогноз социально-экономического и градостроительного развития поселения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Анализ современной ситуации выявил основные направления демографических процессов в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Щеголянском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сельсовете:</w:t>
      </w:r>
    </w:p>
    <w:p w:rsidR="005A4EB3" w:rsidRPr="005A4EB3" w:rsidRDefault="005A4EB3" w:rsidP="005A4EB3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снижение численности населения за счет естественного прироста;</w:t>
      </w:r>
    </w:p>
    <w:p w:rsidR="005A4EB3" w:rsidRPr="005A4EB3" w:rsidRDefault="005A4EB3" w:rsidP="005A4EB3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демографическое «старение» населения сельсовета.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Выявленные тенденции в демографическом движении численности населения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позволяют сделать прогноз изменения численности на перспективу.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Оценка перспективного изменения численности населения в достаточно широком временном диапазоне (до 2035г.) требует построения двух вариантов прогноза - «инерционного» и «инновационного». Они необходимы в условиях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поливариантности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2020 год (первая очередь генерального плана) и 2035 год (расчетный срок).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«Инерционный» сценарий прогноза предполагает сохранение сложившихся условий смертности, рождаемости и миграции. 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тенденций перспективного расчета численности населения Российской Федерации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до 2035 года.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Численность населения рассчитывается согласно существующей методике по формуле: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Но = Нс (1 + (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+М)/100)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perscript"/>
          <w:lang w:eastAsia="ru-RU"/>
        </w:rPr>
        <w:t>Т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где,         Но – ожидаемая численность населения на расчетный год,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Нс – существующая численность населения,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– среднегодовой естественный прирост,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 – среднегодовая миграция,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 – число лет расчетного срока.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Далее приведен расчет инерционного и инновационного прогноза численности населения.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Таблица 8 -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49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7030"/>
        <w:gridCol w:w="1777"/>
      </w:tblGrid>
      <w:tr w:rsidR="005A4EB3" w:rsidRPr="005A4EB3" w:rsidTr="005A4EB3">
        <w:trPr>
          <w:trHeight w:val="184"/>
          <w:tblHeader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293" w:lineRule="atLeast"/>
              <w:ind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5A4EB3" w:rsidRPr="005A4EB3" w:rsidRDefault="005A4EB3" w:rsidP="005A4EB3">
            <w:pPr>
              <w:spacing w:before="195" w:after="195" w:line="184" w:lineRule="atLeast"/>
              <w:ind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184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184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542</w:t>
            </w:r>
          </w:p>
        </w:tc>
      </w:tr>
      <w:tr w:rsidR="005A4EB3" w:rsidRPr="005A4EB3" w:rsidTr="005A4EB3">
        <w:trPr>
          <w:trHeight w:val="12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1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1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1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-1,0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Среднегодовая миграция, 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-0,6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 первой очереди, лет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Расчетный срок, лет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Ожидаемая численность населения в 2020 году, чел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497</w:t>
            </w:r>
          </w:p>
        </w:tc>
      </w:tr>
      <w:tr w:rsidR="005A4EB3" w:rsidRPr="005A4EB3" w:rsidTr="005A4EB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Ожидаемая численность населения в 2035 году, чел.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385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Инерционный сценарий прогноза показывает, что в соответствии с современными тенденциями численность населения сельсовета продолжит снижаться. За следующие 5 лет снижение численности населения сельсовета составит 8%, а число жителей снизится до 497 человек. К 2035 году снижение численности населения сельсовета к уровню 2014 года составит 29%, а численность сельсовета снизится до 385 человек.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Таблица 9 -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6975"/>
        <w:gridCol w:w="1808"/>
      </w:tblGrid>
      <w:tr w:rsidR="005A4EB3" w:rsidRPr="005A4EB3" w:rsidTr="005A4EB3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293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5A4EB3" w:rsidRPr="005A4EB3" w:rsidRDefault="005A4EB3" w:rsidP="005A4EB3">
            <w:pPr>
              <w:spacing w:before="195" w:after="195" w:line="293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542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0,2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Среднегодовая миграция, 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-0,1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 первой очереди, лет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Расчетный срок, лет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Ожидаемая численность населения в 2020 году, чел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545</w:t>
            </w:r>
          </w:p>
        </w:tc>
      </w:tr>
      <w:tr w:rsidR="005A4EB3" w:rsidRPr="005A4EB3" w:rsidTr="005A4EB3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Ожидаемая численность населения в 2035 году, чел.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553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Расчет численности населения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инновационному сценарию развития выполнен с ориентацией на стабилизацию в ближайшие годы социально-экономической ситуации в стране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населении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до 0,2% и среднегодового миграционного оттока до -0,1%.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итоге численность населения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при инновационном сценарии стабилизируется и начнет расти небольшими темпами. Так прогнозируемая численность населения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к 2020 году составит 545 человек, а к 2035 году численности населения может подняться до 553 человека.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Для дальнейших расчетов в генеральном плане численность населения принимается по инновационному сценарию. Для развития инновационного сценария развития территории необходимо принятие мер по разработке действенных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механизмов регулирования процесса воспроизводства населения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в новых условиях.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и местных властей. Для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284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Перспективы демографического развития будут определяться:</w:t>
      </w:r>
    </w:p>
    <w:p w:rsidR="005A4EB3" w:rsidRPr="005A4EB3" w:rsidRDefault="005A4EB3" w:rsidP="005A4EB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улучшением жилищных условий;</w:t>
      </w:r>
    </w:p>
    <w:p w:rsidR="005A4EB3" w:rsidRPr="005A4EB3" w:rsidRDefault="005A4EB3" w:rsidP="005A4EB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обеспечения занятости населения;</w:t>
      </w:r>
    </w:p>
    <w:p w:rsidR="005A4EB3" w:rsidRPr="005A4EB3" w:rsidRDefault="005A4EB3" w:rsidP="005A4EB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улучшением инженерно-транспортной инфраструктуры;</w:t>
      </w:r>
    </w:p>
    <w:p w:rsidR="005A4EB3" w:rsidRPr="005A4EB3" w:rsidRDefault="005A4EB3" w:rsidP="005A4EB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совершенствованием социальной и культурно-бытовой инфраструктуры;</w:t>
      </w:r>
    </w:p>
    <w:p w:rsidR="005A4EB3" w:rsidRPr="005A4EB3" w:rsidRDefault="005A4EB3" w:rsidP="005A4EB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созданием более комфортной и экологически чистой среды;</w:t>
      </w:r>
    </w:p>
    <w:p w:rsidR="005A4EB3" w:rsidRPr="005A4EB3" w:rsidRDefault="005A4EB3" w:rsidP="005A4EB3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5A4EB3" w:rsidRPr="005A4EB3" w:rsidRDefault="005A4EB3" w:rsidP="005A4EB3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3.2.Прогноз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период 2017-2035 годов прогнозируется уменьшение числа жителей, но увеличение уровня автомобилизации населения и притока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сокращать наполняемость экипажей, обеспечивать удобные подходы к остановкам общественного транспорта.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3.3. Прогноз развития транспортной инфраструктуры по видам транспорта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расчетный срок внешние связи поселения будут обеспечиваться, как и в настоящее время, автомобильным транспортом.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Базовыми принципами развития транспортной системы должны стать: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мобильности населения как фактора экономического развития.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3.4. Прогноз развития дорожной сети поселения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3.5. Прогноз уровня автомобилизации, параметров дорожного движения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сегодняшний день уровень автомобилизации населения достаточно высок. Учитывая рост притока автомобильного транспорта в весенне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е-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летний период, общее число автомобилей также увеличиться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3.6.Прогноз показателей безопасности дорожного движения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Увеличение дорожно-транспортных происшествий   связано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Сокращение количества человек, погибших в результате дорожно-транспортных происшествий,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Учитывая рост общего числа автомобилей также увеличиться и вследствие чего прогнозируется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негативное воздействие транспортной инфраструктуры на окружающую среду и здоровье населения.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Раздел 4.  Укрупненная оценка принципиальных вариантов развития транспортной инфраструктуры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санкционной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политике Европейского союза.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8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851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tbl>
      <w:tblPr>
        <w:tblW w:w="0" w:type="auto"/>
        <w:tblInd w:w="-330" w:type="dxa"/>
        <w:tblCellMar>
          <w:left w:w="0" w:type="dxa"/>
          <w:right w:w="0" w:type="dxa"/>
        </w:tblCellMar>
        <w:tblLook w:val="04A0"/>
      </w:tblPr>
      <w:tblGrid>
        <w:gridCol w:w="956"/>
        <w:gridCol w:w="1843"/>
        <w:gridCol w:w="1847"/>
        <w:gridCol w:w="1438"/>
        <w:gridCol w:w="1391"/>
        <w:gridCol w:w="2126"/>
      </w:tblGrid>
      <w:tr w:rsidR="005A4EB3" w:rsidRPr="005A4EB3" w:rsidTr="005A4EB3">
        <w:trPr>
          <w:trHeight w:val="44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numPr>
                <w:ilvl w:val="0"/>
                <w:numId w:val="7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D4437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color w:val="3D4437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A4EB3">
              <w:rPr>
                <w:rFonts w:ascii="Arial" w:eastAsia="Times New Roman" w:hAnsi="Arial" w:cs="Arial"/>
                <w:color w:val="3D4437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Реконструкция, проектирование или строительство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Затраты на реализацию проекта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(</w:t>
            </w:r>
            <w:proofErr w:type="spell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млн</w:t>
            </w:r>
            <w:proofErr w:type="gramStart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.р</w:t>
            </w:r>
            <w:proofErr w:type="gram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уб</w:t>
            </w:r>
            <w:proofErr w:type="spellEnd"/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ru-RU"/>
              </w:rPr>
              <w:t>Предполагаемый источник финансирования</w:t>
            </w:r>
          </w:p>
        </w:tc>
      </w:tr>
      <w:tr w:rsidR="005A4EB3" w:rsidRPr="005A4EB3" w:rsidTr="005A4EB3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numPr>
                <w:ilvl w:val="0"/>
                <w:numId w:val="8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D4437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color w:val="3D4437"/>
                <w:kern w:val="0"/>
                <w:sz w:val="20"/>
                <w:szCs w:val="20"/>
                <w:lang w:eastAsia="ru-RU"/>
              </w:rPr>
              <w:t>1</w:t>
            </w:r>
          </w:p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Бюджет МО,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A4EB3" w:rsidRPr="005A4EB3" w:rsidTr="005A4EB3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A4EB3" w:rsidRPr="005A4EB3" w:rsidTr="005A4EB3">
        <w:trPr>
          <w:trHeight w:val="4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Дорожные знаки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установка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2022-2035г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B3" w:rsidRPr="005A4EB3" w:rsidRDefault="005A4EB3" w:rsidP="005A4EB3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Бюджет МО,</w:t>
            </w:r>
          </w:p>
          <w:p w:rsidR="005A4EB3" w:rsidRPr="005A4EB3" w:rsidRDefault="005A4EB3" w:rsidP="005A4EB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A4EB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районный бюджет</w:t>
            </w:r>
          </w:p>
        </w:tc>
      </w:tr>
    </w:tbl>
    <w:p w:rsidR="005A4EB3" w:rsidRPr="005A4EB3" w:rsidRDefault="005A4EB3" w:rsidP="005A4EB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66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Общий объем финансирования по Программе   составляет всего –0,22 млн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.р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уб.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Финансово-экономическое обоснование программы на 2017 - 2035 годы будет производиться ежегодно, по мере уточнения утверждения инвестиционных программ и объемов финансирования.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Оценка эффективности реализации Программы (далее – Оценка) осуществляется заказчиком Программы ежегодно в течение всего срока       ее реализации и по окончании ее реализации.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Источником информации для проведения оценки эффективности являются отчеты исполнителей мероприятий Программы о достигнутых результатах, использовании финансовых средств за отчетный период.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Оценка осуществляется по следующим критериям: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3.1. Достижение запланированных значений целевых показателей.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Степень достижения</w:t>
      </w:r>
      <w:r w:rsidRPr="005A4EB3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</w:rPr>
        <w:t> 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запланированных результатов по каждому целевому показателю за отчетный период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</w:t>
      </w:r>
      <w:r w:rsidRPr="005A4EB3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</w:rPr>
        <w:t> 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проводится путем сопоставления фактически достигнутого значения целевого показателя         за отчетный период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с его плановым значением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по следующей формуле: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= ----------,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                        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степень достижения планового значения целевого показателя                  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значение показателя, фактически достигнутое на конец отчетного периода;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 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– плановое значение целевого показателя в отчетном периоде.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i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порядковый номер целевого показателя.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Если значение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i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 ∑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i</w:t>
      </w:r>
      <w:proofErr w:type="spellEnd"/>
      <w:proofErr w:type="gram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                      И = ----------,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N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67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∑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сумма оценок достижения плановых значений показателей                  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N – количество целевых показателей Программы, подлежащих выполнению в отчетном периоде.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3.2. Соответствие объемов фактического финансирования запланированным объемам.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Ффакт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к запланированному объему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Фплан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по следующей формуле: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                                                 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 Ф = -----------,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 – степень уровня финансирования мероприятий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фактический объем финансирования мероприятий Программы          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 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– объем финансирования мероприятий, предусмотренный Программой на отчетный период.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3.3. Выполнение запланированных мероприятий.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Степень выполнения каждого запланированного мероприятия Программы за отчетный период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j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Мфакт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             к его запланированному значению (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Мплан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по следующей формуле: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                                    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j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= ------------,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                    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j</w:t>
      </w:r>
      <w:proofErr w:type="spellEnd"/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показатель степени выполнения мероприятия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факт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 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– фактически полученный результат по мероприятию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план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 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– предусмотренный Программой ожидаемый результат по мероприятию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j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– порядковый номер мероприятия Программы.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Расчет среднего показателя степени выполнения запланированных мероприятий за отчетный период (М) определяется как отношение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суммы оценок степени выполнения запланированных мероприятий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 их количеству.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 ∑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j</w:t>
      </w:r>
      <w:proofErr w:type="spellEnd"/>
      <w:proofErr w:type="gram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 М = ------------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 К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 – среднее значение степени выполнения запланированных мероприятий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∑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</w:t>
      </w: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vertAlign w:val="subscript"/>
          <w:lang w:eastAsia="ru-RU"/>
        </w:rPr>
        <w:t>j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– сумма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оценок степени выполнения запланированных мероприятий Программы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–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количество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мероприятий Программы, подлежащих выполнению               в отчетном периоде.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 М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 Э = --------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 Ф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 – эффективность использования финансовых сре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дств Пр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ограммы              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 – среднее значение степени выполнения запланированных мероприятий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 – степень уровня финансирования мероприятий Программы в отчетном периоде.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дств Пр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ограммы (Э) по следующей формуле: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                                        П =   И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Э</w:t>
      </w:r>
      <w:proofErr w:type="gramEnd"/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40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– показатель эффективности реализации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 – эффективность использования финансовых сре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дств Пр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ограммы                 в отчетном периоде.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 Вывод об эффективности реализации Программы формируется                       на основании значений П.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Реализация Программы признается: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 высоким уровнем эффективности, если значение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больше либо равно 0,9;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3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со средним уровнем эффективности, если значение </w:t>
      </w:r>
      <w:proofErr w:type="gram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</w:t>
      </w:r>
      <w:proofErr w:type="gram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меньше 0,9,                     но больше либо равно 0,7.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ind w:firstLine="540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остальных случаях реализация Программы признается с низким уровнем эффективности.</w:t>
      </w:r>
    </w:p>
    <w:p w:rsidR="005A4EB3" w:rsidRPr="005A4EB3" w:rsidRDefault="005A4EB3" w:rsidP="005A4EB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A4EB3" w:rsidRPr="005A4EB3" w:rsidRDefault="005A4EB3" w:rsidP="005A4EB3">
      <w:pPr>
        <w:shd w:val="clear" w:color="auto" w:fill="F8FAFB"/>
        <w:spacing w:before="195" w:after="195" w:line="293" w:lineRule="atLeast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Раздел 8.</w:t>
      </w:r>
      <w:r w:rsidRPr="005A4EB3">
        <w:rPr>
          <w:rFonts w:ascii="Arial" w:eastAsia="Times New Roman" w:hAnsi="Arial" w:cs="Arial"/>
          <w:i/>
          <w:iCs/>
          <w:color w:val="292D24"/>
          <w:kern w:val="0"/>
          <w:sz w:val="24"/>
          <w:szCs w:val="24"/>
          <w:lang w:eastAsia="ru-RU"/>
        </w:rPr>
        <w:t> </w:t>
      </w:r>
      <w:r w:rsidRPr="005A4EB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5A4EB3" w:rsidRPr="005A4EB3" w:rsidRDefault="005A4EB3" w:rsidP="005A4EB3">
      <w:pPr>
        <w:shd w:val="clear" w:color="auto" w:fill="FFFFFF"/>
        <w:spacing w:after="0" w:line="293" w:lineRule="atLeast"/>
        <w:ind w:right="6" w:firstLine="709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Для качественного функционирования и развития транспортной инфраструктуры муниципального образования </w:t>
      </w:r>
      <w:proofErr w:type="spellStart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A4EB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необходимо постоянно актуализировать и дополнять нормативно-правовую базу.</w:t>
      </w:r>
    </w:p>
    <w:p w:rsidR="00B67AD9" w:rsidRPr="005A4EB3" w:rsidRDefault="00B67AD9">
      <w:pPr>
        <w:rPr>
          <w:rFonts w:ascii="Arial" w:hAnsi="Arial" w:cs="Arial"/>
          <w:sz w:val="24"/>
          <w:szCs w:val="24"/>
        </w:rPr>
      </w:pPr>
    </w:p>
    <w:sectPr w:rsidR="00B67AD9" w:rsidRPr="005A4EB3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1C9"/>
    <w:multiLevelType w:val="multilevel"/>
    <w:tmpl w:val="92B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94591"/>
    <w:multiLevelType w:val="multilevel"/>
    <w:tmpl w:val="007C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45DD9"/>
    <w:multiLevelType w:val="multilevel"/>
    <w:tmpl w:val="BDD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E5C0A"/>
    <w:multiLevelType w:val="multilevel"/>
    <w:tmpl w:val="54E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07798"/>
    <w:multiLevelType w:val="multilevel"/>
    <w:tmpl w:val="8918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744FC"/>
    <w:multiLevelType w:val="multilevel"/>
    <w:tmpl w:val="5580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F077A"/>
    <w:multiLevelType w:val="multilevel"/>
    <w:tmpl w:val="E25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754FD"/>
    <w:multiLevelType w:val="multilevel"/>
    <w:tmpl w:val="803A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4EB3"/>
    <w:rsid w:val="0009349F"/>
    <w:rsid w:val="005A4EB3"/>
    <w:rsid w:val="008C0C3E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00">
    <w:name w:val="10"/>
    <w:basedOn w:val="a"/>
    <w:rsid w:val="005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6">
    <w:name w:val="a"/>
    <w:basedOn w:val="a"/>
    <w:rsid w:val="005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5A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A4E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6214</Words>
  <Characters>35424</Characters>
  <Application>Microsoft Office Word</Application>
  <DocSecurity>0</DocSecurity>
  <Lines>295</Lines>
  <Paragraphs>83</Paragraphs>
  <ScaleCrop>false</ScaleCrop>
  <Company/>
  <LinksUpToDate>false</LinksUpToDate>
  <CharactersWithSpaces>41555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2024-09-20T08:52:00Z</dcterms:created>
  <dcterms:modified xsi:type="dcterms:W3CDTF">2024-09-20T09:00:00Z</dcterms:modified>
</cp:coreProperties>
</file>